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3EB" w:rsidRDefault="00A513EB">
      <w:pPr>
        <w:spacing w:after="12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</w:p>
    <w:p w:rsidR="00A513EB" w:rsidRDefault="00A513EB">
      <w:pPr>
        <w:spacing w:after="12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</w:p>
    <w:p w:rsidR="00A513EB" w:rsidRDefault="00A513EB">
      <w:pPr>
        <w:spacing w:after="12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</w:p>
    <w:p w:rsidR="00A513EB" w:rsidRDefault="003000C5">
      <w:pPr>
        <w:spacing w:after="12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z w:val="28"/>
          <w:szCs w:val="28"/>
        </w:rPr>
        <w:t xml:space="preserve">INTERREG V-A COOPERATION PROGRAMME </w:t>
      </w:r>
    </w:p>
    <w:p w:rsidR="00A513EB" w:rsidRDefault="003000C5">
      <w:pPr>
        <w:spacing w:after="12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z w:val="28"/>
          <w:szCs w:val="28"/>
        </w:rPr>
        <w:t>GREECE – BULGARIA 2014-2020</w:t>
      </w:r>
    </w:p>
    <w:p w:rsidR="00A513EB" w:rsidRDefault="00A513EB">
      <w:pPr>
        <w:spacing w:after="12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</w:p>
    <w:p w:rsidR="00A513EB" w:rsidRDefault="003000C5">
      <w:pPr>
        <w:spacing w:after="120" w:line="240" w:lineRule="auto"/>
        <w:jc w:val="center"/>
        <w:rPr>
          <w:rFonts w:ascii="Tahoma" w:eastAsia="Tahoma" w:hAnsi="Tahoma" w:cs="Tahoma"/>
          <w:b/>
          <w:color w:val="4F6228"/>
          <w:sz w:val="32"/>
          <w:szCs w:val="32"/>
        </w:rPr>
      </w:pPr>
      <w:r>
        <w:rPr>
          <w:rFonts w:ascii="Tahoma" w:eastAsia="Tahoma" w:hAnsi="Tahoma" w:cs="Tahoma"/>
          <w:b/>
          <w:color w:val="4F6228"/>
          <w:sz w:val="32"/>
          <w:szCs w:val="32"/>
        </w:rPr>
        <w:t>GREEN CREW</w:t>
      </w:r>
    </w:p>
    <w:p w:rsidR="00A513EB" w:rsidRDefault="003000C5">
      <w:pPr>
        <w:spacing w:after="120" w:line="240" w:lineRule="auto"/>
        <w:jc w:val="center"/>
        <w:rPr>
          <w:rFonts w:ascii="Tahoma" w:eastAsia="Tahoma" w:hAnsi="Tahoma" w:cs="Tahoma"/>
          <w:b/>
          <w:color w:val="4F6228"/>
          <w:sz w:val="32"/>
          <w:szCs w:val="32"/>
        </w:rPr>
      </w:pPr>
      <w:proofErr w:type="gramStart"/>
      <w:r>
        <w:rPr>
          <w:rFonts w:ascii="Tahoma" w:eastAsia="Tahoma" w:hAnsi="Tahoma" w:cs="Tahoma"/>
          <w:b/>
          <w:color w:val="4F6228"/>
          <w:sz w:val="32"/>
          <w:szCs w:val="32"/>
        </w:rPr>
        <w:t>«”GREEN</w:t>
      </w:r>
      <w:proofErr w:type="gramEnd"/>
      <w:r>
        <w:rPr>
          <w:rFonts w:ascii="Tahoma" w:eastAsia="Tahoma" w:hAnsi="Tahoma" w:cs="Tahoma"/>
          <w:b/>
          <w:color w:val="4F6228"/>
          <w:sz w:val="32"/>
          <w:szCs w:val="32"/>
        </w:rPr>
        <w:t>“ EMPLOYMENT IN THE MANAGEMENT OF BIOWASTES»</w:t>
      </w:r>
    </w:p>
    <w:p w:rsidR="00A513EB" w:rsidRDefault="00A513EB">
      <w:pPr>
        <w:spacing w:after="120" w:line="240" w:lineRule="auto"/>
        <w:jc w:val="center"/>
        <w:rPr>
          <w:rFonts w:ascii="Tahoma" w:eastAsia="Tahoma" w:hAnsi="Tahoma" w:cs="Tahoma"/>
          <w:b/>
          <w:color w:val="4F6228"/>
          <w:sz w:val="28"/>
          <w:szCs w:val="28"/>
        </w:rPr>
      </w:pPr>
    </w:p>
    <w:p w:rsidR="00A513EB" w:rsidRDefault="00A513EB">
      <w:pPr>
        <w:spacing w:after="120" w:line="240" w:lineRule="auto"/>
        <w:jc w:val="center"/>
        <w:rPr>
          <w:rFonts w:ascii="Tahoma" w:eastAsia="Tahoma" w:hAnsi="Tahoma" w:cs="Tahoma"/>
          <w:b/>
          <w:color w:val="4F6228"/>
          <w:sz w:val="28"/>
          <w:szCs w:val="28"/>
        </w:rPr>
      </w:pPr>
    </w:p>
    <w:p w:rsidR="00A513EB" w:rsidRDefault="003000C5">
      <w:pPr>
        <w:spacing w:after="12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z w:val="28"/>
          <w:szCs w:val="28"/>
        </w:rPr>
        <w:t>KICK-OFF MEETING</w:t>
      </w:r>
    </w:p>
    <w:p w:rsidR="00A513EB" w:rsidRDefault="003000C5">
      <w:pPr>
        <w:spacing w:after="12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z w:val="28"/>
          <w:szCs w:val="28"/>
        </w:rPr>
        <w:t>4</w:t>
      </w:r>
      <w:r>
        <w:rPr>
          <w:rFonts w:ascii="Tahoma" w:eastAsia="Tahoma" w:hAnsi="Tahoma" w:cs="Tahoma"/>
          <w:b/>
          <w:sz w:val="28"/>
          <w:szCs w:val="28"/>
          <w:vertAlign w:val="superscript"/>
        </w:rPr>
        <w:t>th</w:t>
      </w:r>
      <w:r>
        <w:rPr>
          <w:rFonts w:ascii="Tahoma" w:eastAsia="Tahoma" w:hAnsi="Tahoma" w:cs="Tahoma"/>
          <w:b/>
          <w:sz w:val="28"/>
          <w:szCs w:val="28"/>
        </w:rPr>
        <w:t xml:space="preserve"> December 2017</w:t>
      </w:r>
    </w:p>
    <w:p w:rsidR="00A513EB" w:rsidRDefault="003000C5">
      <w:pPr>
        <w:spacing w:after="12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sz w:val="28"/>
          <w:szCs w:val="28"/>
        </w:rPr>
        <w:t>Starts at (09:30) and finishes at (14:00)</w:t>
      </w:r>
    </w:p>
    <w:p w:rsidR="00A513EB" w:rsidRDefault="00A513EB">
      <w:pPr>
        <w:spacing w:after="120" w:line="240" w:lineRule="auto"/>
        <w:jc w:val="center"/>
        <w:rPr>
          <w:rFonts w:ascii="Tahoma" w:eastAsia="Tahoma" w:hAnsi="Tahoma" w:cs="Tahoma"/>
          <w:b/>
          <w:color w:val="5F497A"/>
          <w:sz w:val="28"/>
          <w:szCs w:val="28"/>
        </w:rPr>
      </w:pPr>
    </w:p>
    <w:p w:rsidR="00A513EB" w:rsidRDefault="00A513EB">
      <w:pPr>
        <w:spacing w:after="120" w:line="240" w:lineRule="auto"/>
        <w:jc w:val="center"/>
        <w:rPr>
          <w:rFonts w:ascii="Tahoma" w:eastAsia="Tahoma" w:hAnsi="Tahoma" w:cs="Tahoma"/>
          <w:b/>
          <w:color w:val="5F497A"/>
          <w:sz w:val="28"/>
          <w:szCs w:val="28"/>
        </w:rPr>
      </w:pPr>
    </w:p>
    <w:p w:rsidR="00A513EB" w:rsidRDefault="003000C5">
      <w:pPr>
        <w:tabs>
          <w:tab w:val="left" w:pos="2552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Former Building of Regional Association of Municipalities</w:t>
      </w:r>
    </w:p>
    <w:p w:rsidR="00A513EB" w:rsidRDefault="003000C5">
      <w:pPr>
        <w:tabs>
          <w:tab w:val="left" w:pos="2552"/>
        </w:tabs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proofErr w:type="spellStart"/>
      <w:r>
        <w:rPr>
          <w:rFonts w:ascii="Arial" w:eastAsia="Arial" w:hAnsi="Arial" w:cs="Arial"/>
          <w:b/>
          <w:sz w:val="28"/>
          <w:szCs w:val="28"/>
        </w:rPr>
        <w:t>Serres</w:t>
      </w:r>
      <w:proofErr w:type="spellEnd"/>
      <w:r>
        <w:rPr>
          <w:rFonts w:ascii="Arial" w:eastAsia="Arial" w:hAnsi="Arial" w:cs="Arial"/>
          <w:b/>
          <w:sz w:val="28"/>
          <w:szCs w:val="28"/>
        </w:rPr>
        <w:t>, Greece</w:t>
      </w:r>
    </w:p>
    <w:p w:rsidR="00A513EB" w:rsidRDefault="00A513EB">
      <w:pPr>
        <w:spacing w:after="120" w:line="240" w:lineRule="auto"/>
        <w:jc w:val="center"/>
        <w:rPr>
          <w:rFonts w:ascii="Tahoma" w:eastAsia="Tahoma" w:hAnsi="Tahoma" w:cs="Tahoma"/>
          <w:b/>
          <w:color w:val="5F497A"/>
          <w:sz w:val="28"/>
          <w:szCs w:val="28"/>
        </w:rPr>
      </w:pPr>
    </w:p>
    <w:p w:rsidR="00A513EB" w:rsidRDefault="00A513EB">
      <w:pPr>
        <w:spacing w:after="120" w:line="240" w:lineRule="auto"/>
        <w:jc w:val="center"/>
        <w:rPr>
          <w:rFonts w:ascii="Tahoma" w:eastAsia="Tahoma" w:hAnsi="Tahoma" w:cs="Tahoma"/>
          <w:b/>
          <w:color w:val="5F497A"/>
          <w:sz w:val="28"/>
          <w:szCs w:val="28"/>
        </w:rPr>
      </w:pPr>
    </w:p>
    <w:p w:rsidR="00A513EB" w:rsidRDefault="00A513EB">
      <w:pPr>
        <w:spacing w:after="120" w:line="240" w:lineRule="auto"/>
        <w:jc w:val="center"/>
        <w:rPr>
          <w:rFonts w:ascii="Tahoma" w:eastAsia="Tahoma" w:hAnsi="Tahoma" w:cs="Tahoma"/>
          <w:b/>
          <w:color w:val="5F497A"/>
          <w:sz w:val="28"/>
          <w:szCs w:val="28"/>
        </w:rPr>
      </w:pPr>
    </w:p>
    <w:p w:rsidR="00A513EB" w:rsidRDefault="003000C5">
      <w:pPr>
        <w:spacing w:after="120" w:line="240" w:lineRule="auto"/>
        <w:jc w:val="center"/>
        <w:rPr>
          <w:rFonts w:ascii="Tahoma" w:eastAsia="Tahoma" w:hAnsi="Tahoma" w:cs="Tahoma"/>
          <w:b/>
          <w:sz w:val="36"/>
          <w:szCs w:val="36"/>
        </w:rPr>
      </w:pPr>
      <w:r>
        <w:rPr>
          <w:rFonts w:ascii="Tahoma" w:eastAsia="Tahoma" w:hAnsi="Tahoma" w:cs="Tahoma"/>
          <w:b/>
          <w:sz w:val="36"/>
          <w:szCs w:val="36"/>
        </w:rPr>
        <w:t>Agenda</w:t>
      </w:r>
    </w:p>
    <w:p w:rsidR="00A513EB" w:rsidRDefault="00A513EB"/>
    <w:p w:rsidR="00A513EB" w:rsidRDefault="00A513EB"/>
    <w:p w:rsidR="00A513EB" w:rsidRDefault="00A513EB"/>
    <w:p w:rsidR="00A513EB" w:rsidRDefault="00A513EB"/>
    <w:p w:rsidR="00A513EB" w:rsidRDefault="00A513EB"/>
    <w:p w:rsidR="00A513EB" w:rsidRDefault="00A513EB"/>
    <w:p w:rsidR="00A513EB" w:rsidRDefault="00A513EB"/>
    <w:p w:rsidR="00A513EB" w:rsidRDefault="00A513EB"/>
    <w:tbl>
      <w:tblPr>
        <w:tblStyle w:val="a5"/>
        <w:tblW w:w="8833" w:type="dxa"/>
        <w:jc w:val="center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377"/>
        <w:gridCol w:w="4482"/>
        <w:gridCol w:w="2974"/>
      </w:tblGrid>
      <w:tr w:rsidR="00A513EB">
        <w:trPr>
          <w:trHeight w:val="30"/>
          <w:jc w:val="center"/>
        </w:trPr>
        <w:tc>
          <w:tcPr>
            <w:tcW w:w="8833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BF1DD"/>
            <w:tcMar>
              <w:left w:w="114" w:type="dxa"/>
            </w:tcMar>
            <w:vAlign w:val="center"/>
          </w:tcPr>
          <w:p w:rsidR="00A513EB" w:rsidRDefault="003000C5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(4</w:t>
            </w:r>
            <w:r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24"/>
                <w:szCs w:val="24"/>
              </w:rPr>
              <w:t>December )</w:t>
            </w:r>
            <w:proofErr w:type="gramEnd"/>
          </w:p>
        </w:tc>
      </w:tr>
      <w:tr w:rsidR="00A513EB">
        <w:trPr>
          <w:trHeight w:val="30"/>
          <w:jc w:val="center"/>
        </w:trPr>
        <w:tc>
          <w:tcPr>
            <w:tcW w:w="13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09.30 – 10.00</w:t>
            </w:r>
          </w:p>
        </w:tc>
        <w:tc>
          <w:tcPr>
            <w:tcW w:w="745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ind w:right="-115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Registration</w:t>
            </w:r>
          </w:p>
        </w:tc>
      </w:tr>
      <w:tr w:rsidR="00A513EB">
        <w:trPr>
          <w:trHeight w:val="865"/>
          <w:jc w:val="center"/>
        </w:trPr>
        <w:tc>
          <w:tcPr>
            <w:tcW w:w="13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10.00 – 10.30</w:t>
            </w:r>
          </w:p>
        </w:tc>
        <w:tc>
          <w:tcPr>
            <w:tcW w:w="44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ind w:right="-115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Welcome address</w:t>
            </w:r>
          </w:p>
          <w:p w:rsidR="00A513EB" w:rsidRDefault="003000C5">
            <w:pPr>
              <w:spacing w:before="120" w:after="120" w:line="240" w:lineRule="auto"/>
              <w:ind w:right="-115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Presentation of participants</w:t>
            </w:r>
          </w:p>
        </w:tc>
        <w:tc>
          <w:tcPr>
            <w:tcW w:w="29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ind w:right="-115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Mayor of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Serres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, Municipal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Councilor</w:t>
            </w:r>
            <w:proofErr w:type="spellEnd"/>
          </w:p>
          <w:p w:rsidR="00A513EB" w:rsidRDefault="003000C5">
            <w:pPr>
              <w:spacing w:before="120" w:after="120" w:line="240" w:lineRule="auto"/>
              <w:ind w:right="-115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+All</w:t>
            </w:r>
          </w:p>
        </w:tc>
      </w:tr>
      <w:tr w:rsidR="00A513EB">
        <w:trPr>
          <w:trHeight w:val="776"/>
          <w:jc w:val="center"/>
        </w:trPr>
        <w:tc>
          <w:tcPr>
            <w:tcW w:w="1377" w:type="dxa"/>
            <w:tcBorders>
              <w:top w:val="single" w:sz="6" w:space="0" w:color="808080"/>
              <w:left w:val="single" w:sz="6" w:space="0" w:color="808080"/>
              <w:bottom w:val="single" w:sz="8" w:space="0" w:color="7F7F7F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10.30 – 10.50</w:t>
            </w:r>
          </w:p>
        </w:tc>
        <w:tc>
          <w:tcPr>
            <w:tcW w:w="4482" w:type="dxa"/>
            <w:tcBorders>
              <w:top w:val="single" w:sz="6" w:space="0" w:color="808080"/>
              <w:left w:val="single" w:sz="6" w:space="0" w:color="808080"/>
              <w:bottom w:val="single" w:sz="8" w:space="0" w:color="7F7F7F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ind w:right="-115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Overview of the project </w:t>
            </w:r>
          </w:p>
          <w:p w:rsidR="00A513EB" w:rsidRDefault="003000C5">
            <w:pPr>
              <w:spacing w:before="120" w:after="120" w:line="240" w:lineRule="auto"/>
              <w:ind w:right="-1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Purpose, objectives and ambitions</w:t>
            </w:r>
          </w:p>
        </w:tc>
        <w:tc>
          <w:tcPr>
            <w:tcW w:w="2974" w:type="dxa"/>
            <w:tcBorders>
              <w:top w:val="single" w:sz="6" w:space="0" w:color="808080"/>
              <w:left w:val="single" w:sz="6" w:space="0" w:color="808080"/>
              <w:bottom w:val="single" w:sz="8" w:space="0" w:color="7F7F7F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ind w:right="-115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Municipality of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Serres</w:t>
            </w:r>
            <w:proofErr w:type="spellEnd"/>
          </w:p>
        </w:tc>
      </w:tr>
      <w:tr w:rsidR="00A513EB">
        <w:trPr>
          <w:trHeight w:val="428"/>
          <w:jc w:val="center"/>
        </w:trPr>
        <w:tc>
          <w:tcPr>
            <w:tcW w:w="13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10.50 – 11.20</w:t>
            </w:r>
          </w:p>
        </w:tc>
        <w:tc>
          <w:tcPr>
            <w:tcW w:w="745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Coffee break </w:t>
            </w:r>
          </w:p>
        </w:tc>
      </w:tr>
      <w:tr w:rsidR="00A513EB">
        <w:trPr>
          <w:trHeight w:val="833"/>
          <w:jc w:val="center"/>
        </w:trPr>
        <w:tc>
          <w:tcPr>
            <w:tcW w:w="13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0" w:line="240" w:lineRule="auto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11.20 – 11.40</w:t>
            </w:r>
          </w:p>
        </w:tc>
        <w:tc>
          <w:tcPr>
            <w:tcW w:w="44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ind w:right="-113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WP1: Project management and coordination</w:t>
            </w:r>
          </w:p>
          <w:p w:rsidR="00A513EB" w:rsidRDefault="003000C5">
            <w:pPr>
              <w:spacing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Work plan &amp; actions, relations with other WPs, main risks and proposals</w:t>
            </w:r>
          </w:p>
        </w:tc>
        <w:tc>
          <w:tcPr>
            <w:tcW w:w="29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0" w:line="240" w:lineRule="auto"/>
              <w:ind w:right="-113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Municipality of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Serres</w:t>
            </w:r>
            <w:proofErr w:type="spellEnd"/>
          </w:p>
        </w:tc>
      </w:tr>
      <w:tr w:rsidR="00A513EB">
        <w:trPr>
          <w:trHeight w:val="730"/>
          <w:jc w:val="center"/>
        </w:trPr>
        <w:tc>
          <w:tcPr>
            <w:tcW w:w="13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11.40 – 12.00</w:t>
            </w:r>
          </w:p>
        </w:tc>
        <w:tc>
          <w:tcPr>
            <w:tcW w:w="44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ind w:right="-113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WP2: Information and Publicity</w:t>
            </w:r>
          </w:p>
          <w:p w:rsidR="00A513EB" w:rsidRDefault="003000C5">
            <w:pPr>
              <w:spacing w:after="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Work plan &amp; actions, relations with other WPs, main risks and proposals</w:t>
            </w:r>
          </w:p>
        </w:tc>
        <w:tc>
          <w:tcPr>
            <w:tcW w:w="29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after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All partners</w:t>
            </w:r>
          </w:p>
        </w:tc>
      </w:tr>
      <w:tr w:rsidR="00A513EB">
        <w:trPr>
          <w:trHeight w:val="23"/>
          <w:jc w:val="center"/>
        </w:trPr>
        <w:tc>
          <w:tcPr>
            <w:tcW w:w="13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12.00 – 12.20</w:t>
            </w:r>
          </w:p>
        </w:tc>
        <w:tc>
          <w:tcPr>
            <w:tcW w:w="44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ind w:right="-113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WP3: Exploring the social contribution of bio-waste utilisation </w:t>
            </w:r>
          </w:p>
          <w:p w:rsidR="00A513EB" w:rsidRDefault="003000C5">
            <w:pPr>
              <w:spacing w:before="120" w:after="0" w:line="240" w:lineRule="auto"/>
              <w:ind w:right="-115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Work plan &amp; actions, relations with other WPs, main risks and proposals</w:t>
            </w:r>
          </w:p>
        </w:tc>
        <w:tc>
          <w:tcPr>
            <w:tcW w:w="29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ind w:right="-113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AUTH, </w:t>
            </w:r>
          </w:p>
          <w:p w:rsidR="00A513EB" w:rsidRDefault="003000C5">
            <w:pPr>
              <w:spacing w:before="120" w:after="120" w:line="240" w:lineRule="auto"/>
              <w:ind w:right="-113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all partners</w:t>
            </w:r>
          </w:p>
        </w:tc>
      </w:tr>
      <w:tr w:rsidR="00A513EB">
        <w:trPr>
          <w:trHeight w:val="397"/>
          <w:jc w:val="center"/>
        </w:trPr>
        <w:tc>
          <w:tcPr>
            <w:tcW w:w="13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12.20 – 12.40</w:t>
            </w:r>
          </w:p>
        </w:tc>
        <w:tc>
          <w:tcPr>
            <w:tcW w:w="44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40" w:after="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WP4: Recycling of organic waste</w:t>
            </w:r>
          </w:p>
          <w:p w:rsidR="00A513EB" w:rsidRDefault="003000C5">
            <w:pPr>
              <w:spacing w:after="0" w:line="240" w:lineRule="auto"/>
              <w:ind w:right="-115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Work plan &amp; actions, relations with other WPs, main risks and proposals</w:t>
            </w:r>
          </w:p>
        </w:tc>
        <w:tc>
          <w:tcPr>
            <w:tcW w:w="29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ind w:right="-113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Municipality of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Nestos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, </w:t>
            </w:r>
          </w:p>
          <w:p w:rsidR="00A513EB" w:rsidRDefault="003000C5">
            <w:pPr>
              <w:spacing w:before="120" w:after="120" w:line="240" w:lineRule="auto"/>
              <w:ind w:right="-113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all partners</w:t>
            </w:r>
          </w:p>
        </w:tc>
      </w:tr>
      <w:tr w:rsidR="00A513EB">
        <w:trPr>
          <w:trHeight w:val="397"/>
          <w:jc w:val="center"/>
        </w:trPr>
        <w:tc>
          <w:tcPr>
            <w:tcW w:w="13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12.40 – 13.00</w:t>
            </w:r>
          </w:p>
        </w:tc>
        <w:tc>
          <w:tcPr>
            <w:tcW w:w="44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40" w:after="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WP5: Evaluation and framework development</w:t>
            </w:r>
          </w:p>
          <w:p w:rsidR="00A513EB" w:rsidRDefault="003000C5">
            <w:pPr>
              <w:spacing w:before="40" w:after="40"/>
              <w:jc w:val="center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Work plan &amp; actions, relations with other WPs, main risks and proposals</w:t>
            </w:r>
          </w:p>
        </w:tc>
        <w:tc>
          <w:tcPr>
            <w:tcW w:w="29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40" w:after="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Municipality of Blagoevgrad,</w:t>
            </w:r>
          </w:p>
          <w:p w:rsidR="00A513EB" w:rsidRDefault="003000C5">
            <w:pPr>
              <w:spacing w:before="40" w:after="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all partners</w:t>
            </w:r>
          </w:p>
        </w:tc>
      </w:tr>
      <w:tr w:rsidR="00A513EB">
        <w:trPr>
          <w:trHeight w:val="353"/>
          <w:jc w:val="center"/>
        </w:trPr>
        <w:tc>
          <w:tcPr>
            <w:tcW w:w="13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13.00 – 13.30</w:t>
            </w:r>
          </w:p>
        </w:tc>
        <w:tc>
          <w:tcPr>
            <w:tcW w:w="745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Coffee break </w:t>
            </w:r>
          </w:p>
        </w:tc>
      </w:tr>
      <w:tr w:rsidR="00A513EB">
        <w:trPr>
          <w:trHeight w:val="23"/>
          <w:jc w:val="center"/>
        </w:trPr>
        <w:tc>
          <w:tcPr>
            <w:tcW w:w="13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13.30 – 13.45</w:t>
            </w:r>
          </w:p>
        </w:tc>
        <w:tc>
          <w:tcPr>
            <w:tcW w:w="44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40" w:after="40" w:line="240" w:lineRule="auto"/>
              <w:ind w:right="-113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First year activities: </w:t>
            </w:r>
          </w:p>
          <w:p w:rsidR="00A513EB" w:rsidRDefault="003000C5">
            <w:pPr>
              <w:spacing w:before="40" w:after="40" w:line="240" w:lineRule="auto"/>
              <w:ind w:right="-113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Definition of task list; time schedule, interactions among WPs; tasks and Deliverables,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lastRenderedPageBreak/>
              <w:t xml:space="preserve">assignments of tasks; set-up of deadlines; fixing dates of event calendar </w:t>
            </w:r>
          </w:p>
          <w:p w:rsidR="00A513EB" w:rsidRDefault="003000C5">
            <w:pPr>
              <w:spacing w:before="40" w:after="40" w:line="240" w:lineRule="auto"/>
              <w:ind w:right="-113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(open discussion)</w:t>
            </w:r>
          </w:p>
        </w:tc>
        <w:tc>
          <w:tcPr>
            <w:tcW w:w="29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40" w:after="40" w:line="240" w:lineRule="auto"/>
              <w:ind w:right="-113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all partners</w:t>
            </w:r>
          </w:p>
        </w:tc>
      </w:tr>
      <w:tr w:rsidR="00A513EB">
        <w:trPr>
          <w:trHeight w:val="380"/>
          <w:jc w:val="center"/>
        </w:trPr>
        <w:tc>
          <w:tcPr>
            <w:tcW w:w="137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120" w:after="12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13.45 – 14.00</w:t>
            </w:r>
          </w:p>
        </w:tc>
        <w:tc>
          <w:tcPr>
            <w:tcW w:w="44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Closing remarks/ </w:t>
            </w:r>
            <w:r>
              <w:rPr>
                <w:rFonts w:ascii="Arial" w:eastAsia="Arial" w:hAnsi="Arial" w:cs="Arial"/>
                <w:sz w:val="20"/>
                <w:szCs w:val="20"/>
              </w:rPr>
              <w:t>Recap of the meeting</w:t>
            </w:r>
          </w:p>
        </w:tc>
        <w:tc>
          <w:tcPr>
            <w:tcW w:w="297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left w:w="114" w:type="dxa"/>
            </w:tcMar>
            <w:vAlign w:val="center"/>
          </w:tcPr>
          <w:p w:rsidR="00A513EB" w:rsidRDefault="003000C5">
            <w:pPr>
              <w:spacing w:before="40" w:after="40" w:line="240" w:lineRule="auto"/>
              <w:ind w:right="-113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Municipality of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Serres</w:t>
            </w:r>
            <w:proofErr w:type="spellEnd"/>
          </w:p>
        </w:tc>
      </w:tr>
    </w:tbl>
    <w:p w:rsidR="00A513EB" w:rsidRDefault="00A513EB">
      <w:bookmarkStart w:id="1" w:name="_GoBack"/>
      <w:bookmarkEnd w:id="1"/>
    </w:p>
    <w:sectPr w:rsidR="00A513EB" w:rsidSect="003000C5">
      <w:headerReference w:type="default" r:id="rId6"/>
      <w:footerReference w:type="default" r:id="rId7"/>
      <w:pgSz w:w="11906" w:h="16838"/>
      <w:pgMar w:top="964" w:right="1276" w:bottom="1021" w:left="1797" w:header="709" w:footer="42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000C5">
      <w:pPr>
        <w:spacing w:after="0" w:line="240" w:lineRule="auto"/>
      </w:pPr>
      <w:r>
        <w:separator/>
      </w:r>
    </w:p>
  </w:endnote>
  <w:endnote w:type="continuationSeparator" w:id="0">
    <w:p w:rsidR="00000000" w:rsidRDefault="00300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D87" w:rsidRPr="007535EF" w:rsidRDefault="007535EF" w:rsidP="003000C5">
    <w:pPr>
      <w:pStyle w:val="a7"/>
      <w:ind w:hanging="1134"/>
      <w:jc w:val="center"/>
      <w:rPr>
        <w:lang w:val="en-US"/>
      </w:rPr>
    </w:pPr>
    <w:r w:rsidRPr="007535EF">
      <w:rPr>
        <w:b/>
        <w:bCs/>
        <w:lang w:val="en-US"/>
      </w:rPr>
      <w:t>The project is co-funded by the European Regional Development Fund and by national funds of the countries participating in the</w:t>
    </w:r>
    <w:r w:rsidR="003000C5" w:rsidRPr="003000C5">
      <w:rPr>
        <w:b/>
        <w:bCs/>
        <w:lang w:val="en-US"/>
      </w:rPr>
      <w:t xml:space="preserve"> Cooperation </w:t>
    </w:r>
    <w:proofErr w:type="spellStart"/>
    <w:r w:rsidR="003000C5" w:rsidRPr="003000C5">
      <w:rPr>
        <w:b/>
        <w:bCs/>
        <w:lang w:val="en-US"/>
      </w:rPr>
      <w:t>Programme</w:t>
    </w:r>
    <w:proofErr w:type="spellEnd"/>
    <w:r w:rsidRPr="007535EF">
      <w:rPr>
        <w:b/>
        <w:bCs/>
        <w:lang w:val="en-US"/>
      </w:rPr>
      <w:t xml:space="preserve"> I</w:t>
    </w:r>
    <w:r w:rsidR="003000C5">
      <w:rPr>
        <w:b/>
        <w:bCs/>
        <w:lang w:val="en-US"/>
      </w:rPr>
      <w:t>NTERREG</w:t>
    </w:r>
    <w:r w:rsidRPr="007535EF">
      <w:rPr>
        <w:b/>
        <w:bCs/>
        <w:lang w:val="en-US"/>
      </w:rPr>
      <w:t xml:space="preserve"> V-A “Greece – Bulgaria 2014-2020’’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000C5">
      <w:pPr>
        <w:spacing w:after="0" w:line="240" w:lineRule="auto"/>
      </w:pPr>
      <w:r>
        <w:separator/>
      </w:r>
    </w:p>
  </w:footnote>
  <w:footnote w:type="continuationSeparator" w:id="0">
    <w:p w:rsidR="00000000" w:rsidRDefault="00300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3EB" w:rsidRDefault="00A513E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000000"/>
      </w:rPr>
    </w:pPr>
  </w:p>
  <w:p w:rsidR="00A513EB" w:rsidRDefault="006F7D8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right"/>
      <w:rPr>
        <w:color w:val="000000"/>
      </w:rPr>
    </w:pPr>
    <w:r>
      <w:rPr>
        <w:noProof/>
      </w:rPr>
      <w:drawing>
        <wp:anchor distT="0" distB="0" distL="133350" distR="114300" simplePos="0" relativeHeight="251658240" behindDoc="0" locked="0" layoutInCell="1" hidden="0" allowOverlap="1">
          <wp:simplePos x="0" y="0"/>
          <wp:positionH relativeFrom="column">
            <wp:posOffset>220980</wp:posOffset>
          </wp:positionH>
          <wp:positionV relativeFrom="paragraph">
            <wp:posOffset>121920</wp:posOffset>
          </wp:positionV>
          <wp:extent cx="558165" cy="476250"/>
          <wp:effectExtent l="0" t="0" r="0" b="0"/>
          <wp:wrapSquare wrapText="bothSides" distT="0" distB="0" distL="133350" distR="114300"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8165" cy="476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00C5">
      <w:rPr>
        <w:noProof/>
        <w:color w:val="000000"/>
      </w:rPr>
      <w:drawing>
        <wp:inline distT="0" distB="0" distL="19050" distR="8255">
          <wp:extent cx="3512820" cy="1059815"/>
          <wp:effectExtent l="0" t="0" r="0" b="6985"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3859" cy="106012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3EB"/>
    <w:rsid w:val="003000C5"/>
    <w:rsid w:val="006F7D87"/>
    <w:rsid w:val="007535EF"/>
    <w:rsid w:val="00A513EB"/>
    <w:rsid w:val="00FC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CA562"/>
  <w15:docId w15:val="{55CBD074-FFEB-4F6B-9512-94BB331DE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4" w:type="dxa"/>
        <w:bottom w:w="72" w:type="dxa"/>
        <w:right w:w="115" w:type="dxa"/>
      </w:tblCellMar>
    </w:tblPr>
  </w:style>
  <w:style w:type="paragraph" w:styleId="a6">
    <w:name w:val="header"/>
    <w:basedOn w:val="a"/>
    <w:link w:val="Char"/>
    <w:uiPriority w:val="99"/>
    <w:unhideWhenUsed/>
    <w:rsid w:val="006F7D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rsid w:val="006F7D87"/>
  </w:style>
  <w:style w:type="paragraph" w:styleId="a7">
    <w:name w:val="footer"/>
    <w:basedOn w:val="a"/>
    <w:link w:val="Char0"/>
    <w:uiPriority w:val="99"/>
    <w:unhideWhenUsed/>
    <w:rsid w:val="006F7D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6F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265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2021-11-19T12:11:00Z</dcterms:created>
  <dcterms:modified xsi:type="dcterms:W3CDTF">2021-11-19T12:17:00Z</dcterms:modified>
</cp:coreProperties>
</file>